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00"/>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69"/>
        <w:gridCol w:w="4851"/>
        <w:gridCol w:w="1306"/>
        <w:gridCol w:w="2570"/>
      </w:tblGrid>
      <w:tr w:rsidR="00750647" w:rsidRPr="0043677C" w:rsidTr="00750647">
        <w:trPr>
          <w:trHeight w:val="643"/>
          <w:jc w:val="center"/>
        </w:trPr>
        <w:tc>
          <w:tcPr>
            <w:tcW w:w="9796" w:type="dxa"/>
            <w:gridSpan w:val="4"/>
            <w:tcBorders>
              <w:top w:val="nil"/>
              <w:left w:val="nil"/>
              <w:right w:val="nil"/>
            </w:tcBorders>
            <w:vAlign w:val="center"/>
          </w:tcPr>
          <w:p w:rsidR="00750647" w:rsidRPr="0043677C" w:rsidRDefault="00750647" w:rsidP="00CC22E4">
            <w:pPr>
              <w:spacing w:line="220" w:lineRule="atLeast"/>
              <w:rPr>
                <w:rFonts w:ascii="宋体" w:hAnsi="宋体" w:cs="文星标宋" w:hint="eastAsia"/>
                <w:sz w:val="28"/>
                <w:szCs w:val="28"/>
              </w:rPr>
            </w:pPr>
            <w:r w:rsidRPr="0043677C">
              <w:rPr>
                <w:rFonts w:ascii="宋体" w:hAnsi="宋体" w:cs="方正黑体_GBK" w:hint="eastAsia"/>
                <w:sz w:val="28"/>
                <w:szCs w:val="28"/>
              </w:rPr>
              <w:t>附件</w:t>
            </w:r>
          </w:p>
          <w:p w:rsidR="00750647" w:rsidRPr="0043677C" w:rsidRDefault="00750647" w:rsidP="00CC22E4">
            <w:pPr>
              <w:spacing w:line="220" w:lineRule="atLeast"/>
              <w:jc w:val="center"/>
              <w:rPr>
                <w:rFonts w:ascii="宋体" w:hAnsi="宋体" w:cs="方正小标宋_GBK" w:hint="eastAsia"/>
                <w:sz w:val="28"/>
                <w:szCs w:val="28"/>
              </w:rPr>
            </w:pPr>
            <w:r w:rsidRPr="0043677C">
              <w:rPr>
                <w:rFonts w:ascii="宋体" w:hAnsi="宋体" w:cs="方正小标宋_GBK" w:hint="eastAsia"/>
                <w:sz w:val="28"/>
                <w:szCs w:val="28"/>
              </w:rPr>
              <w:t>辽源市公共资源交易目录</w:t>
            </w:r>
          </w:p>
          <w:p w:rsidR="00750647" w:rsidRPr="0043677C" w:rsidRDefault="00750647" w:rsidP="00CC22E4">
            <w:pPr>
              <w:spacing w:line="400" w:lineRule="exact"/>
              <w:jc w:val="center"/>
              <w:rPr>
                <w:rFonts w:ascii="宋体" w:hAnsi="宋体" w:cs="方正小标宋_GBK" w:hint="eastAsia"/>
                <w:sz w:val="28"/>
                <w:szCs w:val="28"/>
              </w:rPr>
            </w:pPr>
          </w:p>
        </w:tc>
      </w:tr>
      <w:tr w:rsidR="00750647" w:rsidRPr="0043677C" w:rsidTr="00750647">
        <w:trPr>
          <w:trHeight w:hRule="exact" w:val="1201"/>
          <w:jc w:val="center"/>
        </w:trPr>
        <w:tc>
          <w:tcPr>
            <w:tcW w:w="1069" w:type="dxa"/>
            <w:vAlign w:val="center"/>
          </w:tcPr>
          <w:p w:rsidR="00750647" w:rsidRPr="0043677C" w:rsidRDefault="00750647" w:rsidP="00CC22E4">
            <w:pPr>
              <w:jc w:val="center"/>
              <w:rPr>
                <w:rFonts w:ascii="宋体" w:hAnsi="宋体" w:cs="方正黑体_GBK" w:hint="eastAsia"/>
                <w:color w:val="000000"/>
                <w:sz w:val="28"/>
                <w:szCs w:val="28"/>
              </w:rPr>
            </w:pPr>
            <w:r w:rsidRPr="0043677C">
              <w:rPr>
                <w:rFonts w:ascii="宋体" w:hAnsi="宋体" w:cs="方正黑体_GBK" w:hint="eastAsia"/>
                <w:color w:val="000000"/>
                <w:sz w:val="28"/>
                <w:szCs w:val="28"/>
              </w:rPr>
              <w:t>序  号</w:t>
            </w:r>
          </w:p>
        </w:tc>
        <w:tc>
          <w:tcPr>
            <w:tcW w:w="4851" w:type="dxa"/>
            <w:vAlign w:val="center"/>
          </w:tcPr>
          <w:p w:rsidR="00750647" w:rsidRPr="0043677C" w:rsidRDefault="00750647" w:rsidP="00CC22E4">
            <w:pPr>
              <w:jc w:val="center"/>
              <w:rPr>
                <w:rFonts w:ascii="宋体" w:hAnsi="宋体" w:cs="方正黑体_GBK" w:hint="eastAsia"/>
                <w:color w:val="000000"/>
                <w:sz w:val="28"/>
                <w:szCs w:val="28"/>
              </w:rPr>
            </w:pPr>
            <w:r w:rsidRPr="0043677C">
              <w:rPr>
                <w:rFonts w:ascii="宋体" w:hAnsi="宋体" w:cs="方正黑体_GBK" w:hint="eastAsia"/>
                <w:color w:val="000000"/>
                <w:sz w:val="28"/>
                <w:szCs w:val="28"/>
              </w:rPr>
              <w:t>项目名称</w:t>
            </w:r>
          </w:p>
        </w:tc>
        <w:tc>
          <w:tcPr>
            <w:tcW w:w="1306" w:type="dxa"/>
            <w:vAlign w:val="center"/>
          </w:tcPr>
          <w:p w:rsidR="00750647" w:rsidRPr="0043677C" w:rsidRDefault="00750647" w:rsidP="00CC22E4">
            <w:pPr>
              <w:jc w:val="center"/>
              <w:rPr>
                <w:rFonts w:ascii="宋体" w:hAnsi="宋体" w:cs="方正黑体_GBK" w:hint="eastAsia"/>
                <w:sz w:val="28"/>
                <w:szCs w:val="28"/>
              </w:rPr>
            </w:pPr>
            <w:r w:rsidRPr="0043677C">
              <w:rPr>
                <w:rFonts w:ascii="宋体" w:hAnsi="宋体" w:cs="方正黑体_GBK" w:hint="eastAsia"/>
                <w:sz w:val="28"/>
                <w:szCs w:val="28"/>
              </w:rPr>
              <w:t>行政主管部门</w:t>
            </w:r>
          </w:p>
        </w:tc>
        <w:tc>
          <w:tcPr>
            <w:tcW w:w="2570" w:type="dxa"/>
            <w:vAlign w:val="center"/>
          </w:tcPr>
          <w:p w:rsidR="00750647" w:rsidRPr="0043677C" w:rsidRDefault="00750647" w:rsidP="00CC22E4">
            <w:pPr>
              <w:jc w:val="center"/>
              <w:rPr>
                <w:rFonts w:ascii="宋体" w:hAnsi="宋体" w:cs="方正黑体_GBK" w:hint="eastAsia"/>
                <w:sz w:val="28"/>
                <w:szCs w:val="28"/>
              </w:rPr>
            </w:pPr>
            <w:r w:rsidRPr="0043677C">
              <w:rPr>
                <w:rFonts w:ascii="宋体" w:hAnsi="宋体" w:cs="方正黑体_GBK" w:hint="eastAsia"/>
                <w:sz w:val="28"/>
                <w:szCs w:val="28"/>
              </w:rPr>
              <w:t>备  注</w:t>
            </w: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工程建设项目（住房和城乡建设类）</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sz w:val="28"/>
                <w:szCs w:val="28"/>
              </w:rPr>
              <w:t>住房和城乡建设</w:t>
            </w:r>
          </w:p>
        </w:tc>
        <w:tc>
          <w:tcPr>
            <w:tcW w:w="2570" w:type="dxa"/>
            <w:vMerge w:val="restart"/>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sz w:val="28"/>
                <w:szCs w:val="28"/>
              </w:rPr>
              <w:t xml:space="preserve">    国有资金占控股或者主导地位的依法必须进行招标的房屋建筑和市政基础设施工程项目的勘察、设计、施工、监理以及与工程建设有关的重要设备、材料等的采购均应进入公共资源交易中心</w:t>
            </w: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工程建设项目勘察</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sz w:val="28"/>
                <w:szCs w:val="28"/>
              </w:rPr>
            </w:pPr>
          </w:p>
        </w:tc>
      </w:tr>
      <w:tr w:rsidR="00750647" w:rsidRPr="0043677C" w:rsidTr="00750647">
        <w:trPr>
          <w:trHeight w:val="2392"/>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A0101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新建、改建、扩建的各类房屋建筑及其附属设施和与其配套的线路、管道、设备安装工程及室内外装修工程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sz w:val="28"/>
                <w:szCs w:val="28"/>
              </w:rPr>
            </w:pPr>
          </w:p>
        </w:tc>
      </w:tr>
      <w:tr w:rsidR="00750647" w:rsidRPr="0043677C" w:rsidTr="00750647">
        <w:trPr>
          <w:trHeight w:val="4839"/>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A0102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城市道路、桥涵和隧道（含城市规划区内的穿山过江隧道、地铁隧道、地下交通工程、地下过街通道）、轨道交通、公共交通、给水、排水、燃气、热力、园林、绿化、照明、环境卫生、污水处理、垃圾处理、防洪、地下公共设施及附属设施的土建、管道、设备安装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工程建设项目设计（含勘察设计咨询）</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1224"/>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A0201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新建、改建、扩建的各类房屋建筑及其附属设施和与其配套的线路、管道、设备安装工程及室内外装修工程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2829"/>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lastRenderedPageBreak/>
              <w:t>A0202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城市道路、桥涵和隧道（含城市规划区内的穿山过江隧道、地铁隧道、地下交通工程、地下过街通道）、轨道交通、公共交通、给水、排水、燃气、热力、园林、绿化、照明、环境卫生、污水处理、垃圾处理、防洪、地下公共设施及附属设施的土建、管道、设备安装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674"/>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A03</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工程建设项目施工</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住房和城乡建设</w:t>
            </w:r>
          </w:p>
        </w:tc>
        <w:tc>
          <w:tcPr>
            <w:tcW w:w="2570" w:type="dxa"/>
            <w:vMerge w:val="restart"/>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sz w:val="28"/>
                <w:szCs w:val="28"/>
              </w:rPr>
              <w:t xml:space="preserve">    国有资金占控股或者主导地位的依法必须进行招标的房屋建筑和市政基础设施工程项目的勘察、设计、施工、监理以及与工程建设有关的重要设备、材料等的采购均应进入公共资源交易中心</w:t>
            </w:r>
          </w:p>
        </w:tc>
      </w:tr>
      <w:tr w:rsidR="00750647" w:rsidRPr="0043677C" w:rsidTr="00750647">
        <w:trPr>
          <w:trHeight w:val="9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A0301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新建、改建、扩建的各类房屋建筑及其附属设施和与其配套的线路、管道、设备安装工程及室内外装修工程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rPr>
                <w:rFonts w:ascii="宋体" w:hAnsi="宋体" w:cs="宋体" w:hint="eastAsia"/>
                <w:color w:val="000000"/>
                <w:sz w:val="28"/>
                <w:szCs w:val="28"/>
              </w:rPr>
            </w:pPr>
          </w:p>
        </w:tc>
      </w:tr>
      <w:tr w:rsidR="00750647" w:rsidRPr="0043677C" w:rsidTr="00750647">
        <w:trPr>
          <w:trHeight w:val="2364"/>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A0302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城市道路、桥涵和隧道（含城市规划区内的穿山过江隧道、地铁隧道、地下交通工程、地下过街通道）、轨道交通、公共交通、给水、排水、燃气、热力、园林、绿化、照明、环境卫生、污水处理、垃圾处理、防洪、地下公共设施及附属设施的土建、管道、设备安装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A04</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工程建设项目监理</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566"/>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A0401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新建、改建、扩建的各类房屋建筑及其附属设施和与其配套的线路、管道、设备安装工程及室内外装修工程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60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lastRenderedPageBreak/>
              <w:t>A0402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城市道路、桥涵和隧道（含城市规划区内的穿山过江隧道、地铁隧道、地下交通工程、地下过街通道）、轨道交通、公共交通、给水、排水、燃气、热力、园林、绿化、照明、环境卫生、污水处理、垃圾处理、防洪、地下公共设施及附属设施的土建、管道、设备安装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68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A05</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工程建设项目重要设备、材料采购</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1074"/>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A0501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新建、改建、扩建的各类房屋建筑及其附属设施和与其配套的线路、管道、设备安装工程及室内外装修工程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5542"/>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A0502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城市道路、桥涵和隧道（含城市规划区内的穿山过江隧道、地铁隧道、地下交通工程、地下过街通道）、轨道交通、公共交通、给水、排水、燃气、热力、园林、绿化、照明、环境卫生、污水处理、垃圾处理、防洪、地下公共设施及附属设施的土建、管道、设备安装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A06</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工程建设项目检测、监测</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住房和城乡建设</w:t>
            </w:r>
          </w:p>
        </w:tc>
        <w:tc>
          <w:tcPr>
            <w:tcW w:w="2570" w:type="dxa"/>
            <w:vMerge w:val="restart"/>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sz w:val="28"/>
                <w:szCs w:val="28"/>
              </w:rPr>
              <w:t xml:space="preserve">    国有资金占控股或者主导地位的依法必须进行招标</w:t>
            </w:r>
            <w:r w:rsidRPr="0043677C">
              <w:rPr>
                <w:rFonts w:ascii="宋体" w:hAnsi="宋体" w:cs="宋体" w:hint="eastAsia"/>
                <w:sz w:val="28"/>
                <w:szCs w:val="28"/>
              </w:rPr>
              <w:lastRenderedPageBreak/>
              <w:t>的房屋建筑和市政基础设施工程项目的勘察、设计、施工、监理以及与工程建设有关的重要设备、材料等的采购均应进入公共资源交易中心</w:t>
            </w:r>
          </w:p>
        </w:tc>
      </w:tr>
      <w:tr w:rsidR="00750647" w:rsidRPr="0043677C" w:rsidTr="00750647">
        <w:trPr>
          <w:trHeight w:val="1389"/>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A0601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新建、改建、扩建的各类房屋建筑及其附属设施和与其配套的线路、管</w:t>
            </w:r>
            <w:r w:rsidRPr="0043677C">
              <w:rPr>
                <w:rFonts w:ascii="宋体" w:hAnsi="宋体" w:cs="宋体" w:hint="eastAsia"/>
                <w:sz w:val="28"/>
                <w:szCs w:val="28"/>
              </w:rPr>
              <w:lastRenderedPageBreak/>
              <w:t>道、设备安装工程及室内外装修工程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val="2994"/>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lastRenderedPageBreak/>
              <w:t>A0602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城市道路、桥涵和隧道（含城市规划区内的穿山过江隧道、地铁隧道、地下交通工程、地下过街通道）、轨道交通、公共交通、给水、排水、燃气、热力、园林、绿化、照明、环境卫生、污水处理、垃圾处理、防洪、地下公共设施及附属设施的土建、管道、设备安装工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A07</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工程建设项目总承包</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A08</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工程建设项目PPP</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A09</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工程建设项目全过程咨询</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工程建设项目（交通运输类）</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交通运输</w:t>
            </w:r>
          </w:p>
        </w:tc>
        <w:tc>
          <w:tcPr>
            <w:tcW w:w="2570" w:type="dxa"/>
            <w:vMerge w:val="restart"/>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国有资金占控股或者主导地位的依法必须进行招标的交通类项目（包括机关报建、改建、扩建、养护）的勘察、设计、监理等服务类以及工程施工、设备、材料采购均应进入公共资源交易中心</w:t>
            </w: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工程建设项目勘察（公路、水运项目）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工程建设项目设计（公路、水运项目）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B03</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工程建设项目施工（公路、水运项目）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B04</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工程建设项目监理（公路、水运项目）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B05</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工程建设项目检测、监测（公路、水运项目）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B06</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工程建设项目重要设备、材料采购（公路、水运项目）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B07</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工程建设项目总承包（公路项目）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6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B08</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工程建设项目PPP（公路项目）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C</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工程建设项目（水利类）</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水  利</w:t>
            </w:r>
          </w:p>
        </w:tc>
        <w:tc>
          <w:tcPr>
            <w:tcW w:w="2570" w:type="dxa"/>
            <w:vMerge w:val="restart"/>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关系社会公共</w:t>
            </w:r>
            <w:r w:rsidRPr="0043677C">
              <w:rPr>
                <w:rFonts w:ascii="宋体" w:hAnsi="宋体" w:cs="宋体" w:hint="eastAsia"/>
                <w:color w:val="000000"/>
                <w:sz w:val="28"/>
                <w:szCs w:val="28"/>
              </w:rPr>
              <w:lastRenderedPageBreak/>
              <w:t>利益，公众安全的防洪、除涝、灌溉、水利发电、引（供）水、土保持、水资源保护、渔业基础设施、水文设施等水利工程建设项目，均应进入公共资源交易中心</w:t>
            </w: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C01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工程建设项目勘察</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lastRenderedPageBreak/>
              <w:t>C02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工程建设项目设计（含勘察设计咨询）</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lastRenderedPageBreak/>
              <w:t>C03</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工程建设项目施工</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C04</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工程建设项目监理（含勘察监理）</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7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C05</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工程建设项目重要设备、材料采购</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894"/>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C06</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sz w:val="28"/>
                <w:szCs w:val="28"/>
              </w:rPr>
              <w:t xml:space="preserve">    工程建设项目检测、监测</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68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D</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color w:val="000000"/>
                <w:sz w:val="28"/>
                <w:szCs w:val="28"/>
              </w:rPr>
              <w:t xml:space="preserve">    国有建设用地使用权、矿业权出让转让项目类</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国土资源</w:t>
            </w:r>
          </w:p>
        </w:tc>
        <w:tc>
          <w:tcPr>
            <w:tcW w:w="2570" w:type="dxa"/>
            <w:vMerge w:val="restart"/>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680"/>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D01</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color w:val="000000"/>
                <w:sz w:val="28"/>
                <w:szCs w:val="28"/>
              </w:rPr>
              <w:t xml:space="preserve">    以招标、拍卖、挂牌方式出让的国有土地使用权</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1937"/>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D02</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color w:val="000000"/>
                <w:sz w:val="28"/>
                <w:szCs w:val="28"/>
              </w:rPr>
              <w:t xml:space="preserve">    市级国土资源管理部门发证以招标、拍卖、挂牌方式出让的采矿权项目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1709"/>
          <w:jc w:val="center"/>
        </w:trPr>
        <w:tc>
          <w:tcPr>
            <w:tcW w:w="1069" w:type="dxa"/>
            <w:vAlign w:val="center"/>
          </w:tcPr>
          <w:p w:rsidR="00750647" w:rsidRPr="0043677C" w:rsidRDefault="00750647" w:rsidP="00CC22E4">
            <w:pPr>
              <w:jc w:val="center"/>
              <w:rPr>
                <w:rFonts w:ascii="宋体" w:hAnsi="宋体" w:cs="宋体" w:hint="eastAsia"/>
                <w:sz w:val="28"/>
                <w:szCs w:val="28"/>
              </w:rPr>
            </w:pPr>
            <w:r w:rsidRPr="0043677C">
              <w:rPr>
                <w:rFonts w:ascii="宋体" w:hAnsi="宋体" w:cs="宋体" w:hint="eastAsia"/>
                <w:sz w:val="28"/>
                <w:szCs w:val="28"/>
              </w:rPr>
              <w:t>D03</w:t>
            </w:r>
          </w:p>
        </w:tc>
        <w:tc>
          <w:tcPr>
            <w:tcW w:w="4851" w:type="dxa"/>
            <w:vAlign w:val="center"/>
          </w:tcPr>
          <w:p w:rsidR="00750647" w:rsidRPr="0043677C" w:rsidRDefault="00750647" w:rsidP="00CC22E4">
            <w:pPr>
              <w:rPr>
                <w:rFonts w:ascii="宋体" w:hAnsi="宋体" w:cs="宋体" w:hint="eastAsia"/>
                <w:sz w:val="28"/>
                <w:szCs w:val="28"/>
              </w:rPr>
            </w:pPr>
            <w:r w:rsidRPr="0043677C">
              <w:rPr>
                <w:rFonts w:ascii="宋体" w:hAnsi="宋体" w:cs="宋体" w:hint="eastAsia"/>
                <w:color w:val="000000"/>
                <w:sz w:val="28"/>
                <w:szCs w:val="28"/>
              </w:rPr>
              <w:t xml:space="preserve">    县级国土资源管理部门发证以招标、拍卖、挂牌方式出让的采矿权项目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E</w:t>
            </w:r>
          </w:p>
        </w:tc>
        <w:tc>
          <w:tcPr>
            <w:tcW w:w="4851" w:type="dxa"/>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产权类</w:t>
            </w:r>
          </w:p>
        </w:tc>
        <w:tc>
          <w:tcPr>
            <w:tcW w:w="1306" w:type="dxa"/>
            <w:vMerge w:val="restart"/>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财  政</w:t>
            </w:r>
          </w:p>
        </w:tc>
        <w:tc>
          <w:tcPr>
            <w:tcW w:w="2570" w:type="dxa"/>
            <w:vMerge w:val="restart"/>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价值500万元以上由市重大国有资产处置机构决议处置</w:t>
            </w: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E01</w:t>
            </w:r>
          </w:p>
        </w:tc>
        <w:tc>
          <w:tcPr>
            <w:tcW w:w="4851" w:type="dxa"/>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国有产权转让</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E02</w:t>
            </w:r>
          </w:p>
        </w:tc>
        <w:tc>
          <w:tcPr>
            <w:tcW w:w="4851" w:type="dxa"/>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国有企业重大资产转让</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510"/>
          <w:jc w:val="center"/>
        </w:trPr>
        <w:tc>
          <w:tcPr>
            <w:tcW w:w="1069" w:type="dxa"/>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E03</w:t>
            </w:r>
          </w:p>
        </w:tc>
        <w:tc>
          <w:tcPr>
            <w:tcW w:w="4851" w:type="dxa"/>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国有实物资产处置</w:t>
            </w:r>
          </w:p>
        </w:tc>
        <w:tc>
          <w:tcPr>
            <w:tcW w:w="1306" w:type="dxa"/>
            <w:vMerge/>
            <w:vAlign w:val="center"/>
          </w:tcPr>
          <w:p w:rsidR="00750647" w:rsidRPr="0043677C" w:rsidRDefault="00750647" w:rsidP="00CC22E4">
            <w:pPr>
              <w:jc w:val="center"/>
              <w:rPr>
                <w:rFonts w:ascii="宋体" w:hAnsi="宋体" w:cs="宋体" w:hint="eastAsia"/>
                <w:color w:val="000000"/>
                <w:sz w:val="28"/>
                <w:szCs w:val="28"/>
              </w:rPr>
            </w:pPr>
          </w:p>
        </w:tc>
        <w:tc>
          <w:tcPr>
            <w:tcW w:w="2570" w:type="dxa"/>
            <w:vMerge/>
            <w:vAlign w:val="center"/>
          </w:tcPr>
          <w:p w:rsidR="00750647" w:rsidRPr="0043677C" w:rsidRDefault="00750647" w:rsidP="00CC22E4">
            <w:pPr>
              <w:jc w:val="center"/>
              <w:rPr>
                <w:rFonts w:ascii="宋体" w:hAnsi="宋体" w:cs="宋体" w:hint="eastAsia"/>
                <w:color w:val="000000"/>
                <w:sz w:val="28"/>
                <w:szCs w:val="28"/>
              </w:rPr>
            </w:pPr>
          </w:p>
        </w:tc>
      </w:tr>
      <w:tr w:rsidR="00750647" w:rsidRPr="0043677C" w:rsidTr="00750647">
        <w:trPr>
          <w:trHeight w:hRule="exact" w:val="1417"/>
          <w:jc w:val="center"/>
        </w:trPr>
        <w:tc>
          <w:tcPr>
            <w:tcW w:w="1069" w:type="dxa"/>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F</w:t>
            </w:r>
          </w:p>
        </w:tc>
        <w:tc>
          <w:tcPr>
            <w:tcW w:w="4851" w:type="dxa"/>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政府集中采购项目类</w:t>
            </w:r>
          </w:p>
        </w:tc>
        <w:tc>
          <w:tcPr>
            <w:tcW w:w="1306" w:type="dxa"/>
            <w:vAlign w:val="center"/>
          </w:tcPr>
          <w:p w:rsidR="00750647" w:rsidRPr="0043677C" w:rsidRDefault="00750647" w:rsidP="00CC22E4">
            <w:pPr>
              <w:jc w:val="center"/>
              <w:rPr>
                <w:rFonts w:ascii="宋体" w:hAnsi="宋体" w:cs="宋体" w:hint="eastAsia"/>
                <w:color w:val="000000"/>
                <w:sz w:val="28"/>
                <w:szCs w:val="28"/>
              </w:rPr>
            </w:pPr>
            <w:r w:rsidRPr="0043677C">
              <w:rPr>
                <w:rFonts w:ascii="宋体" w:hAnsi="宋体" w:cs="宋体" w:hint="eastAsia"/>
                <w:color w:val="000000"/>
                <w:sz w:val="28"/>
                <w:szCs w:val="28"/>
              </w:rPr>
              <w:t>财  政</w:t>
            </w:r>
          </w:p>
        </w:tc>
        <w:tc>
          <w:tcPr>
            <w:tcW w:w="2570" w:type="dxa"/>
            <w:vAlign w:val="center"/>
          </w:tcPr>
          <w:p w:rsidR="00750647" w:rsidRPr="0043677C" w:rsidRDefault="00750647" w:rsidP="00CC22E4">
            <w:pPr>
              <w:rPr>
                <w:rFonts w:ascii="宋体" w:hAnsi="宋体" w:cs="宋体" w:hint="eastAsia"/>
                <w:color w:val="000000"/>
                <w:sz w:val="28"/>
                <w:szCs w:val="28"/>
              </w:rPr>
            </w:pPr>
            <w:r w:rsidRPr="0043677C">
              <w:rPr>
                <w:rFonts w:ascii="宋体" w:hAnsi="宋体" w:cs="宋体" w:hint="eastAsia"/>
                <w:color w:val="000000"/>
                <w:sz w:val="28"/>
                <w:szCs w:val="28"/>
              </w:rPr>
              <w:t xml:space="preserve">    执行市财政局发布的政府集中采购目录、政府采购限额标准和公开招标数额标准</w:t>
            </w:r>
          </w:p>
        </w:tc>
      </w:tr>
    </w:tbl>
    <w:p w:rsidR="00765545" w:rsidRPr="00750647" w:rsidRDefault="00765545"/>
    <w:sectPr w:rsidR="00765545" w:rsidRPr="00750647" w:rsidSect="0075064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45" w:rsidRDefault="00765545" w:rsidP="00750647">
      <w:r>
        <w:separator/>
      </w:r>
    </w:p>
  </w:endnote>
  <w:endnote w:type="continuationSeparator" w:id="1">
    <w:p w:rsidR="00765545" w:rsidRDefault="00765545" w:rsidP="00750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文星标宋">
    <w:altName w:val="宋体"/>
    <w:charset w:val="86"/>
    <w:family w:val="auto"/>
    <w:pitch w:val="default"/>
    <w:sig w:usb0="00000001" w:usb1="080E0000" w:usb2="00000000"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45" w:rsidRDefault="00765545" w:rsidP="00750647">
      <w:r>
        <w:separator/>
      </w:r>
    </w:p>
  </w:footnote>
  <w:footnote w:type="continuationSeparator" w:id="1">
    <w:p w:rsidR="00765545" w:rsidRDefault="00765545" w:rsidP="00750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647"/>
    <w:rsid w:val="00750647"/>
    <w:rsid w:val="00765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647"/>
    <w:rPr>
      <w:sz w:val="18"/>
      <w:szCs w:val="18"/>
    </w:rPr>
  </w:style>
  <w:style w:type="paragraph" w:styleId="a4">
    <w:name w:val="footer"/>
    <w:basedOn w:val="a"/>
    <w:link w:val="Char0"/>
    <w:uiPriority w:val="99"/>
    <w:semiHidden/>
    <w:unhideWhenUsed/>
    <w:rsid w:val="00750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6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393</Words>
  <Characters>2246</Characters>
  <Application>Microsoft Office Word</Application>
  <DocSecurity>0</DocSecurity>
  <Lines>18</Lines>
  <Paragraphs>5</Paragraphs>
  <ScaleCrop>false</ScaleCrop>
  <Company>Microsoft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2018-04-26T02:17:00Z</dcterms:created>
  <dcterms:modified xsi:type="dcterms:W3CDTF">2018-04-26T02:19:00Z</dcterms:modified>
</cp:coreProperties>
</file>